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991" w:rsidRDefault="00846991"/>
    <w:p w:rsidR="00E80CB5" w:rsidRDefault="00E80CB5"/>
    <w:p w:rsidR="00B01E28" w:rsidRDefault="00A26EF4">
      <w:r>
        <w:rPr>
          <w:noProof/>
        </w:rPr>
        <w:drawing>
          <wp:inline distT="0" distB="0" distL="0" distR="0" wp14:anchorId="17A9A804" wp14:editId="2ED60ECC">
            <wp:extent cx="8229600" cy="3750310"/>
            <wp:effectExtent l="0" t="0" r="0" b="254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46991" w:rsidRDefault="00846991"/>
    <w:p w:rsidR="00EE39A7" w:rsidRDefault="00255901">
      <w:bookmarkStart w:id="0" w:name="_GoBack"/>
      <w:r>
        <w:rPr>
          <w:noProof/>
        </w:rPr>
        <w:lastRenderedPageBreak/>
        <w:drawing>
          <wp:inline distT="0" distB="0" distL="0" distR="0" wp14:anchorId="499747F1" wp14:editId="42C85651">
            <wp:extent cx="7078980" cy="3960495"/>
            <wp:effectExtent l="0" t="0" r="7620" b="190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p w:rsidR="00EE39A7" w:rsidRDefault="00EE39A7"/>
    <w:p w:rsidR="00846991" w:rsidRPr="00846991" w:rsidRDefault="00C7641D" w:rsidP="00D4481F">
      <w:pPr>
        <w:pStyle w:val="ListParagraph"/>
        <w:numPr>
          <w:ilvl w:val="0"/>
          <w:numId w:val="2"/>
        </w:numPr>
      </w:pPr>
      <w:r>
        <w:t>Definition</w:t>
      </w:r>
      <w:r w:rsidR="00F34577">
        <w:t>s</w:t>
      </w:r>
      <w:r w:rsidR="00846991" w:rsidRPr="00846991">
        <w:t>:</w:t>
      </w:r>
    </w:p>
    <w:p w:rsidR="00846991" w:rsidRDefault="00846991" w:rsidP="00D4481F">
      <w:pPr>
        <w:pStyle w:val="ListParagraph"/>
        <w:numPr>
          <w:ilvl w:val="0"/>
          <w:numId w:val="2"/>
        </w:numPr>
      </w:pPr>
      <w:r w:rsidRPr="00846991">
        <w:t>Fall enrollment refers to the student headcount reported by the college</w:t>
      </w:r>
      <w:r w:rsidR="00C15D1E">
        <w:t xml:space="preserve"> on the tenth day</w:t>
      </w:r>
      <w:r w:rsidRPr="00846991">
        <w:t xml:space="preserve">.  </w:t>
      </w:r>
      <w:r w:rsidR="00C15D1E" w:rsidRPr="00C15D1E">
        <w:t>Students reported are those enrolled in courses creditable toward a degree or other formal award</w:t>
      </w:r>
      <w:r w:rsidR="00E1788A">
        <w:t>.</w:t>
      </w:r>
    </w:p>
    <w:p w:rsidR="00846991" w:rsidRPr="00846991" w:rsidRDefault="00846991" w:rsidP="00D4481F">
      <w:pPr>
        <w:pStyle w:val="ListParagraph"/>
        <w:numPr>
          <w:ilvl w:val="0"/>
          <w:numId w:val="2"/>
        </w:numPr>
        <w:rPr>
          <w:rFonts w:cs="TimesNewRoman"/>
        </w:rPr>
      </w:pPr>
      <w:r w:rsidRPr="00846991">
        <w:rPr>
          <w:rFonts w:cs="TimesNewRoman"/>
        </w:rPr>
        <w:t>Full-time student</w:t>
      </w:r>
      <w:r>
        <w:rPr>
          <w:rFonts w:cs="TimesNewRoman"/>
        </w:rPr>
        <w:t xml:space="preserve"> is a</w:t>
      </w:r>
      <w:r w:rsidRPr="00846991">
        <w:rPr>
          <w:rFonts w:cs="TimesNewRoman"/>
        </w:rPr>
        <w:t xml:space="preserve"> student taking 12 or more credit hours during the semester. </w:t>
      </w:r>
    </w:p>
    <w:p w:rsidR="00846991" w:rsidRDefault="00846991" w:rsidP="00D4481F">
      <w:pPr>
        <w:pStyle w:val="ListParagraph"/>
        <w:numPr>
          <w:ilvl w:val="0"/>
          <w:numId w:val="2"/>
        </w:numPr>
      </w:pPr>
      <w:r w:rsidRPr="00846991">
        <w:rPr>
          <w:rFonts w:cs="TimesNewRoman"/>
        </w:rPr>
        <w:t xml:space="preserve">Part-time student is a student taking less than 12 credit hours during the semester. </w:t>
      </w:r>
    </w:p>
    <w:sectPr w:rsidR="00846991" w:rsidSect="009F78A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D77E9"/>
    <w:multiLevelType w:val="hybridMultilevel"/>
    <w:tmpl w:val="CE529C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96C51"/>
    <w:multiLevelType w:val="hybridMultilevel"/>
    <w:tmpl w:val="5614A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0NTAyNLAwMzcyMzVU0lEKTi0uzszPAykwrQUArBIq1iwAAAA="/>
  </w:docVars>
  <w:rsids>
    <w:rsidRoot w:val="009F78A1"/>
    <w:rsid w:val="001229E2"/>
    <w:rsid w:val="00177C6B"/>
    <w:rsid w:val="001915D7"/>
    <w:rsid w:val="001B18C9"/>
    <w:rsid w:val="00232E5D"/>
    <w:rsid w:val="00255901"/>
    <w:rsid w:val="00407876"/>
    <w:rsid w:val="00447CB2"/>
    <w:rsid w:val="004F3964"/>
    <w:rsid w:val="00603E4D"/>
    <w:rsid w:val="0061255A"/>
    <w:rsid w:val="006814CF"/>
    <w:rsid w:val="007530C3"/>
    <w:rsid w:val="00846991"/>
    <w:rsid w:val="008834B7"/>
    <w:rsid w:val="009019AF"/>
    <w:rsid w:val="00927D9D"/>
    <w:rsid w:val="009843E9"/>
    <w:rsid w:val="009F78A1"/>
    <w:rsid w:val="00A26EF4"/>
    <w:rsid w:val="00A525D5"/>
    <w:rsid w:val="00A6734A"/>
    <w:rsid w:val="00B01E28"/>
    <w:rsid w:val="00C15D1E"/>
    <w:rsid w:val="00C7641D"/>
    <w:rsid w:val="00D4481F"/>
    <w:rsid w:val="00E1788A"/>
    <w:rsid w:val="00E80CB5"/>
    <w:rsid w:val="00EC470C"/>
    <w:rsid w:val="00EE39A7"/>
    <w:rsid w:val="00F3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1272C2-F9EA-4C69-BF00-77C75408B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69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strRef>
          <c:f>'[Chart in Microsoft Word]KPI Summary'!$B$9</c:f>
          <c:strCache>
            <c:ptCount val="1"/>
            <c:pt idx="0">
              <c:v>Fall 10th-day Enrollment</c:v>
            </c:pt>
          </c:strCache>
        </c:strRef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'[Chart in Microsoft Word]KPI Summary'!$B$10</c:f>
              <c:strCache>
                <c:ptCount val="1"/>
                <c:pt idx="0">
                  <c:v>PSC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rgbClr val="7030A0"/>
                </a:solidFill>
              </a:ln>
              <a:effectLst/>
            </c:spPr>
          </c:marker>
          <c:cat>
            <c:strRef>
              <c:f>'[Chart in Microsoft Word]KPI Summary'!$C$9:$M$9</c:f>
              <c:strCache>
                <c:ptCount val="11"/>
                <c:pt idx="0">
                  <c:v>FA 2010</c:v>
                </c:pt>
                <c:pt idx="1">
                  <c:v>FA 2011</c:v>
                </c:pt>
                <c:pt idx="2">
                  <c:v>FA 2012</c:v>
                </c:pt>
                <c:pt idx="3">
                  <c:v>FA 2013</c:v>
                </c:pt>
                <c:pt idx="4">
                  <c:v>FA 2014</c:v>
                </c:pt>
                <c:pt idx="5">
                  <c:v>FA 2015</c:v>
                </c:pt>
                <c:pt idx="6">
                  <c:v>FA 2016</c:v>
                </c:pt>
                <c:pt idx="7">
                  <c:v>FA 2017</c:v>
                </c:pt>
                <c:pt idx="8">
                  <c:v>FA 2018</c:v>
                </c:pt>
                <c:pt idx="9">
                  <c:v>FA 2019</c:v>
                </c:pt>
                <c:pt idx="10">
                  <c:v>FA 2020</c:v>
                </c:pt>
              </c:strCache>
            </c:strRef>
          </c:cat>
          <c:val>
            <c:numRef>
              <c:f>'[Chart in Microsoft Word]KPI Summary'!$C$10:$M$10</c:f>
              <c:numCache>
                <c:formatCode>#,##0</c:formatCode>
                <c:ptCount val="11"/>
                <c:pt idx="0">
                  <c:v>5791</c:v>
                </c:pt>
                <c:pt idx="1">
                  <c:v>5697</c:v>
                </c:pt>
                <c:pt idx="2">
                  <c:v>5416</c:v>
                </c:pt>
                <c:pt idx="3">
                  <c:v>5064</c:v>
                </c:pt>
                <c:pt idx="4">
                  <c:v>4573</c:v>
                </c:pt>
                <c:pt idx="5">
                  <c:v>4699</c:v>
                </c:pt>
                <c:pt idx="6">
                  <c:v>4484</c:v>
                </c:pt>
                <c:pt idx="7">
                  <c:v>4403</c:v>
                </c:pt>
                <c:pt idx="8">
                  <c:v>3946</c:v>
                </c:pt>
                <c:pt idx="9">
                  <c:v>3843</c:v>
                </c:pt>
                <c:pt idx="10">
                  <c:v>2716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C8F-4651-97D9-A4E500596484}"/>
            </c:ext>
          </c:extLst>
        </c:ser>
        <c:ser>
          <c:idx val="1"/>
          <c:order val="1"/>
          <c:tx>
            <c:strRef>
              <c:f>'[Chart in Microsoft Word]KPI Summary'!$B$11</c:f>
              <c:strCache>
                <c:ptCount val="1"/>
                <c:pt idx="0">
                  <c:v>Comparison Group</c:v>
                </c:pt>
              </c:strCache>
            </c:strRef>
          </c:tx>
          <c:spPr>
            <a:ln w="28575" cap="rnd">
              <a:solidFill>
                <a:srgbClr val="026937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rgbClr val="026937"/>
                </a:solidFill>
              </a:ln>
              <a:effectLst/>
            </c:spPr>
          </c:marker>
          <c:cat>
            <c:strRef>
              <c:f>'[Chart in Microsoft Word]KPI Summary'!$C$9:$M$9</c:f>
              <c:strCache>
                <c:ptCount val="11"/>
                <c:pt idx="0">
                  <c:v>FA 2010</c:v>
                </c:pt>
                <c:pt idx="1">
                  <c:v>FA 2011</c:v>
                </c:pt>
                <c:pt idx="2">
                  <c:v>FA 2012</c:v>
                </c:pt>
                <c:pt idx="3">
                  <c:v>FA 2013</c:v>
                </c:pt>
                <c:pt idx="4">
                  <c:v>FA 2014</c:v>
                </c:pt>
                <c:pt idx="5">
                  <c:v>FA 2015</c:v>
                </c:pt>
                <c:pt idx="6">
                  <c:v>FA 2016</c:v>
                </c:pt>
                <c:pt idx="7">
                  <c:v>FA 2017</c:v>
                </c:pt>
                <c:pt idx="8">
                  <c:v>FA 2018</c:v>
                </c:pt>
                <c:pt idx="9">
                  <c:v>FA 2019</c:v>
                </c:pt>
                <c:pt idx="10">
                  <c:v>FA 2020</c:v>
                </c:pt>
              </c:strCache>
            </c:strRef>
          </c:cat>
          <c:val>
            <c:numRef>
              <c:f>'[Chart in Microsoft Word]KPI Summary'!$C$11:$M$11</c:f>
              <c:numCache>
                <c:formatCode>#,##0</c:formatCode>
                <c:ptCount val="11"/>
                <c:pt idx="0">
                  <c:v>6384</c:v>
                </c:pt>
                <c:pt idx="1">
                  <c:v>6022</c:v>
                </c:pt>
                <c:pt idx="2">
                  <c:v>5639</c:v>
                </c:pt>
                <c:pt idx="3">
                  <c:v>5707</c:v>
                </c:pt>
                <c:pt idx="4">
                  <c:v>5674</c:v>
                </c:pt>
                <c:pt idx="5">
                  <c:v>4685</c:v>
                </c:pt>
                <c:pt idx="6">
                  <c:v>5391</c:v>
                </c:pt>
                <c:pt idx="7">
                  <c:v>4434</c:v>
                </c:pt>
                <c:pt idx="8">
                  <c:v>4136</c:v>
                </c:pt>
                <c:pt idx="9">
                  <c:v>4118</c:v>
                </c:pt>
                <c:pt idx="10">
                  <c:v>3696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C8F-4651-97D9-A4E5005964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48595392"/>
        <c:axId val="1542083440"/>
        <c:extLst/>
      </c:lineChart>
      <c:catAx>
        <c:axId val="1748595392"/>
        <c:scaling>
          <c:orientation val="minMax"/>
        </c:scaling>
        <c:delete val="0"/>
        <c:axPos val="b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42083440"/>
        <c:crosses val="autoZero"/>
        <c:auto val="1"/>
        <c:lblAlgn val="ctr"/>
        <c:lblOffset val="100"/>
        <c:noMultiLvlLbl val="0"/>
      </c:catAx>
      <c:valAx>
        <c:axId val="15420834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Headcount</a:t>
                </a:r>
              </a:p>
            </c:rich>
          </c:tx>
          <c:layout>
            <c:manualLayout>
              <c:xMode val="edge"/>
              <c:yMode val="edge"/>
              <c:x val="6.4439586561113829E-2"/>
              <c:y val="0.3507321741032370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4859539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Fall 10th-day Enrollment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1"/>
          <c:order val="1"/>
          <c:tx>
            <c:strRef>
              <c:f>'Fall Enrollment'!$C$2</c:f>
              <c:strCache>
                <c:ptCount val="1"/>
                <c:pt idx="0">
                  <c:v>Full-time students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extLst>
                <c:ext xmlns:c15="http://schemas.microsoft.com/office/drawing/2012/chart" uri="{02D57815-91ED-43cb-92C2-25804820EDAC}">
                  <c15:fullRef>
                    <c15:sqref>'Fall Enrollment'!$B$3:$B$25</c15:sqref>
                  </c15:fullRef>
                </c:ext>
              </c:extLst>
              <c:f>('Fall Enrollment'!$B$3:$B$18,'Fall Enrollment'!$B$20:$B$25)</c:f>
              <c:numCache>
                <c:formatCode>General</c:formatCode>
                <c:ptCount val="22"/>
                <c:pt idx="0">
                  <c:v>1999</c:v>
                </c:pt>
                <c:pt idx="1">
                  <c:v>2000</c:v>
                </c:pt>
                <c:pt idx="2">
                  <c:v>2001</c:v>
                </c:pt>
                <c:pt idx="3">
                  <c:v>2002</c:v>
                </c:pt>
                <c:pt idx="4">
                  <c:v>2003</c:v>
                </c:pt>
                <c:pt idx="5">
                  <c:v>2004</c:v>
                </c:pt>
                <c:pt idx="6">
                  <c:v>2005</c:v>
                </c:pt>
                <c:pt idx="7">
                  <c:v>2006</c:v>
                </c:pt>
                <c:pt idx="8">
                  <c:v>2007</c:v>
                </c:pt>
                <c:pt idx="9">
                  <c:v>2008</c:v>
                </c:pt>
                <c:pt idx="10">
                  <c:v>2009</c:v>
                </c:pt>
                <c:pt idx="11">
                  <c:v>2010</c:v>
                </c:pt>
                <c:pt idx="12">
                  <c:v>2011</c:v>
                </c:pt>
                <c:pt idx="13">
                  <c:v>2012</c:v>
                </c:pt>
                <c:pt idx="14">
                  <c:v>2013</c:v>
                </c:pt>
                <c:pt idx="15">
                  <c:v>2014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</c:numCache>
            </c:num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'Fall Enrollment'!$C$3:$C$25</c15:sqref>
                  </c15:fullRef>
                </c:ext>
              </c:extLst>
              <c:f>('Fall Enrollment'!$C$3:$C$18,'Fall Enrollment'!$C$20:$C$25)</c:f>
              <c:numCache>
                <c:formatCode>#,##0</c:formatCode>
                <c:ptCount val="22"/>
                <c:pt idx="0">
                  <c:v>1445</c:v>
                </c:pt>
                <c:pt idx="1">
                  <c:v>1374</c:v>
                </c:pt>
                <c:pt idx="2">
                  <c:v>1326</c:v>
                </c:pt>
                <c:pt idx="3">
                  <c:v>1562</c:v>
                </c:pt>
                <c:pt idx="4">
                  <c:v>1682</c:v>
                </c:pt>
                <c:pt idx="5">
                  <c:v>1745</c:v>
                </c:pt>
                <c:pt idx="6">
                  <c:v>1714</c:v>
                </c:pt>
                <c:pt idx="7">
                  <c:v>1797</c:v>
                </c:pt>
                <c:pt idx="8">
                  <c:v>1958</c:v>
                </c:pt>
                <c:pt idx="9">
                  <c:v>1908</c:v>
                </c:pt>
                <c:pt idx="10">
                  <c:v>2252</c:v>
                </c:pt>
                <c:pt idx="11">
                  <c:v>2379</c:v>
                </c:pt>
                <c:pt idx="12">
                  <c:v>2228</c:v>
                </c:pt>
                <c:pt idx="13">
                  <c:v>2078</c:v>
                </c:pt>
                <c:pt idx="14">
                  <c:v>1997</c:v>
                </c:pt>
                <c:pt idx="15">
                  <c:v>1774</c:v>
                </c:pt>
                <c:pt idx="16">
                  <c:v>1550</c:v>
                </c:pt>
                <c:pt idx="17">
                  <c:v>1461</c:v>
                </c:pt>
                <c:pt idx="18">
                  <c:v>1310</c:v>
                </c:pt>
                <c:pt idx="19">
                  <c:v>1254</c:v>
                </c:pt>
                <c:pt idx="20">
                  <c:v>872</c:v>
                </c:pt>
                <c:pt idx="21">
                  <c:v>785.4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78-4314-973C-14260589D6F9}"/>
            </c:ext>
          </c:extLst>
        </c:ser>
        <c:ser>
          <c:idx val="2"/>
          <c:order val="2"/>
          <c:tx>
            <c:strRef>
              <c:f>'Fall Enrollment'!$D$2</c:f>
              <c:strCache>
                <c:ptCount val="1"/>
                <c:pt idx="0">
                  <c:v>Part-time students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</c:spPr>
          <c:invertIfNegative val="0"/>
          <c:cat>
            <c:numRef>
              <c:extLst>
                <c:ext xmlns:c15="http://schemas.microsoft.com/office/drawing/2012/chart" uri="{02D57815-91ED-43cb-92C2-25804820EDAC}">
                  <c15:fullRef>
                    <c15:sqref>'Fall Enrollment'!$B$3:$B$25</c15:sqref>
                  </c15:fullRef>
                </c:ext>
              </c:extLst>
              <c:f>('Fall Enrollment'!$B$3:$B$18,'Fall Enrollment'!$B$20:$B$25)</c:f>
              <c:numCache>
                <c:formatCode>General</c:formatCode>
                <c:ptCount val="22"/>
                <c:pt idx="0">
                  <c:v>1999</c:v>
                </c:pt>
                <c:pt idx="1">
                  <c:v>2000</c:v>
                </c:pt>
                <c:pt idx="2">
                  <c:v>2001</c:v>
                </c:pt>
                <c:pt idx="3">
                  <c:v>2002</c:v>
                </c:pt>
                <c:pt idx="4">
                  <c:v>2003</c:v>
                </c:pt>
                <c:pt idx="5">
                  <c:v>2004</c:v>
                </c:pt>
                <c:pt idx="6">
                  <c:v>2005</c:v>
                </c:pt>
                <c:pt idx="7">
                  <c:v>2006</c:v>
                </c:pt>
                <c:pt idx="8">
                  <c:v>2007</c:v>
                </c:pt>
                <c:pt idx="9">
                  <c:v>2008</c:v>
                </c:pt>
                <c:pt idx="10">
                  <c:v>2009</c:v>
                </c:pt>
                <c:pt idx="11">
                  <c:v>2010</c:v>
                </c:pt>
                <c:pt idx="12">
                  <c:v>2011</c:v>
                </c:pt>
                <c:pt idx="13">
                  <c:v>2012</c:v>
                </c:pt>
                <c:pt idx="14">
                  <c:v>2013</c:v>
                </c:pt>
                <c:pt idx="15">
                  <c:v>2014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</c:numCache>
            </c:num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'Fall Enrollment'!$D$3:$D$25</c15:sqref>
                  </c15:fullRef>
                </c:ext>
              </c:extLst>
              <c:f>('Fall Enrollment'!$D$3:$D$18,'Fall Enrollment'!$D$20:$D$25)</c:f>
              <c:numCache>
                <c:formatCode>#,##0</c:formatCode>
                <c:ptCount val="22"/>
                <c:pt idx="0">
                  <c:v>3743</c:v>
                </c:pt>
                <c:pt idx="1">
                  <c:v>3421</c:v>
                </c:pt>
                <c:pt idx="2">
                  <c:v>3102</c:v>
                </c:pt>
                <c:pt idx="3">
                  <c:v>3439</c:v>
                </c:pt>
                <c:pt idx="4">
                  <c:v>3862</c:v>
                </c:pt>
                <c:pt idx="5">
                  <c:v>3597</c:v>
                </c:pt>
                <c:pt idx="6">
                  <c:v>3369</c:v>
                </c:pt>
                <c:pt idx="7">
                  <c:v>3497</c:v>
                </c:pt>
                <c:pt idx="8">
                  <c:v>3549</c:v>
                </c:pt>
                <c:pt idx="9">
                  <c:v>3460</c:v>
                </c:pt>
                <c:pt idx="10">
                  <c:v>3602</c:v>
                </c:pt>
                <c:pt idx="11">
                  <c:v>3412</c:v>
                </c:pt>
                <c:pt idx="12">
                  <c:v>3469</c:v>
                </c:pt>
                <c:pt idx="13">
                  <c:v>3338</c:v>
                </c:pt>
                <c:pt idx="14">
                  <c:v>3067</c:v>
                </c:pt>
                <c:pt idx="15">
                  <c:v>2799</c:v>
                </c:pt>
                <c:pt idx="16">
                  <c:v>2934</c:v>
                </c:pt>
                <c:pt idx="17">
                  <c:v>2942</c:v>
                </c:pt>
                <c:pt idx="18">
                  <c:v>2636</c:v>
                </c:pt>
                <c:pt idx="19">
                  <c:v>2589</c:v>
                </c:pt>
                <c:pt idx="20">
                  <c:v>1844</c:v>
                </c:pt>
                <c:pt idx="21">
                  <c:v>1832.6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178-4314-973C-14260589D6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5"/>
        <c:overlap val="100"/>
        <c:axId val="926348320"/>
        <c:axId val="92634888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'Fall Enrollment'!$B$2</c15:sqref>
                        </c15:formulaRef>
                      </c:ext>
                    </c:extLst>
                    <c:strCache>
                      <c:ptCount val="1"/>
                      <c:pt idx="0">
                        <c:v>FALL</c:v>
                      </c:pt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cat>
                  <c:numRef>
                    <c:extLst>
                      <c:ext uri="{02D57815-91ED-43cb-92C2-25804820EDAC}">
                        <c15:fullRef>
                          <c15:sqref>'Fall Enrollment'!$B$3:$B$25</c15:sqref>
                        </c15:fullRef>
                        <c15:formulaRef>
                          <c15:sqref>('Fall Enrollment'!$B$3:$B$18,'Fall Enrollment'!$B$20:$B$25)</c15:sqref>
                        </c15:formulaRef>
                      </c:ext>
                    </c:extLst>
                    <c:numCache>
                      <c:formatCode>General</c:formatCode>
                      <c:ptCount val="22"/>
                      <c:pt idx="0">
                        <c:v>1999</c:v>
                      </c:pt>
                      <c:pt idx="1">
                        <c:v>2000</c:v>
                      </c:pt>
                      <c:pt idx="2">
                        <c:v>2001</c:v>
                      </c:pt>
                      <c:pt idx="3">
                        <c:v>2002</c:v>
                      </c:pt>
                      <c:pt idx="4">
                        <c:v>2003</c:v>
                      </c:pt>
                      <c:pt idx="5">
                        <c:v>2004</c:v>
                      </c:pt>
                      <c:pt idx="6">
                        <c:v>2005</c:v>
                      </c:pt>
                      <c:pt idx="7">
                        <c:v>2006</c:v>
                      </c:pt>
                      <c:pt idx="8">
                        <c:v>2007</c:v>
                      </c:pt>
                      <c:pt idx="9">
                        <c:v>2008</c:v>
                      </c:pt>
                      <c:pt idx="10">
                        <c:v>2009</c:v>
                      </c:pt>
                      <c:pt idx="11">
                        <c:v>2010</c:v>
                      </c:pt>
                      <c:pt idx="12">
                        <c:v>2011</c:v>
                      </c:pt>
                      <c:pt idx="13">
                        <c:v>2012</c:v>
                      </c:pt>
                      <c:pt idx="14">
                        <c:v>2013</c:v>
                      </c:pt>
                      <c:pt idx="15">
                        <c:v>2014</c:v>
                      </c:pt>
                      <c:pt idx="16">
                        <c:v>2016</c:v>
                      </c:pt>
                      <c:pt idx="17">
                        <c:v>2017</c:v>
                      </c:pt>
                      <c:pt idx="18">
                        <c:v>2018</c:v>
                      </c:pt>
                      <c:pt idx="19">
                        <c:v>2019</c:v>
                      </c:pt>
                      <c:pt idx="20">
                        <c:v>2020</c:v>
                      </c:pt>
                      <c:pt idx="21">
                        <c:v>2021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ullRef>
                          <c15:sqref>'Fall Enrollment'!$B$3:$B$25</c15:sqref>
                        </c15:fullRef>
                        <c15:formulaRef>
                          <c15:sqref>('Fall Enrollment'!$B$3:$B$18,'Fall Enrollment'!$B$20:$B$25)</c15:sqref>
                        </c15:formulaRef>
                      </c:ext>
                    </c:extLst>
                    <c:numCache>
                      <c:formatCode>General</c:formatCode>
                      <c:ptCount val="22"/>
                      <c:pt idx="0">
                        <c:v>1999</c:v>
                      </c:pt>
                      <c:pt idx="1">
                        <c:v>2000</c:v>
                      </c:pt>
                      <c:pt idx="2">
                        <c:v>2001</c:v>
                      </c:pt>
                      <c:pt idx="3">
                        <c:v>2002</c:v>
                      </c:pt>
                      <c:pt idx="4">
                        <c:v>2003</c:v>
                      </c:pt>
                      <c:pt idx="5">
                        <c:v>2004</c:v>
                      </c:pt>
                      <c:pt idx="6">
                        <c:v>2005</c:v>
                      </c:pt>
                      <c:pt idx="7">
                        <c:v>2006</c:v>
                      </c:pt>
                      <c:pt idx="8">
                        <c:v>2007</c:v>
                      </c:pt>
                      <c:pt idx="9">
                        <c:v>2008</c:v>
                      </c:pt>
                      <c:pt idx="10">
                        <c:v>2009</c:v>
                      </c:pt>
                      <c:pt idx="11">
                        <c:v>2010</c:v>
                      </c:pt>
                      <c:pt idx="12">
                        <c:v>2011</c:v>
                      </c:pt>
                      <c:pt idx="13">
                        <c:v>2012</c:v>
                      </c:pt>
                      <c:pt idx="14">
                        <c:v>2013</c:v>
                      </c:pt>
                      <c:pt idx="15">
                        <c:v>2014</c:v>
                      </c:pt>
                      <c:pt idx="16">
                        <c:v>2016</c:v>
                      </c:pt>
                      <c:pt idx="17">
                        <c:v>2017</c:v>
                      </c:pt>
                      <c:pt idx="18">
                        <c:v>2018</c:v>
                      </c:pt>
                      <c:pt idx="19">
                        <c:v>2019</c:v>
                      </c:pt>
                      <c:pt idx="20">
                        <c:v>2020</c:v>
                      </c:pt>
                      <c:pt idx="21">
                        <c:v>2021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7178-4314-973C-14260589D6F9}"/>
                  </c:ext>
                </c:extLst>
              </c15:ser>
            </c15:filteredBarSeries>
          </c:ext>
        </c:extLst>
      </c:barChart>
      <c:lineChart>
        <c:grouping val="standard"/>
        <c:varyColors val="0"/>
        <c:ser>
          <c:idx val="3"/>
          <c:order val="3"/>
          <c:tx>
            <c:strRef>
              <c:f>'Fall Enrollment'!$E$2</c:f>
              <c:strCache>
                <c:ptCount val="1"/>
                <c:pt idx="0">
                  <c:v>Total number of students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none"/>
          </c:marker>
          <c:cat>
            <c:strLit>
              <c:ptCount val="22"/>
              <c:pt idx="0">
                <c:v>1999</c:v>
              </c:pt>
              <c:pt idx="1">
                <c:v>2000</c:v>
              </c:pt>
              <c:pt idx="2">
                <c:v>2001</c:v>
              </c:pt>
              <c:pt idx="3">
                <c:v>2002</c:v>
              </c:pt>
              <c:pt idx="4">
                <c:v>2003</c:v>
              </c:pt>
              <c:pt idx="5">
                <c:v>2004</c:v>
              </c:pt>
              <c:pt idx="6">
                <c:v>2005</c:v>
              </c:pt>
              <c:pt idx="7">
                <c:v>2006</c:v>
              </c:pt>
              <c:pt idx="8">
                <c:v>2007</c:v>
              </c:pt>
              <c:pt idx="9">
                <c:v>2008</c:v>
              </c:pt>
              <c:pt idx="10">
                <c:v>2009</c:v>
              </c:pt>
              <c:pt idx="11">
                <c:v>2010</c:v>
              </c:pt>
              <c:pt idx="12">
                <c:v>2011</c:v>
              </c:pt>
              <c:pt idx="13">
                <c:v>2012</c:v>
              </c:pt>
              <c:pt idx="14">
                <c:v>2013</c:v>
              </c:pt>
              <c:pt idx="15">
                <c:v>2014</c:v>
              </c:pt>
              <c:pt idx="16">
                <c:v>2016</c:v>
              </c:pt>
              <c:pt idx="17">
                <c:v>2017</c:v>
              </c:pt>
              <c:pt idx="18">
                <c:v>2018</c:v>
              </c:pt>
              <c:pt idx="19">
                <c:v>2019</c:v>
              </c:pt>
              <c:pt idx="20">
                <c:v>2020</c:v>
              </c:pt>
              <c:pt idx="21">
                <c:v>2021</c:v>
              </c:pt>
              <c:extLst>
                <c:ext xmlns:c15="http://schemas.microsoft.com/office/drawing/2012/chart" uri="{02D57815-91ED-43cb-92C2-25804820EDAC}">
                  <c15:autoCat val="1"/>
                </c:ext>
              </c:extLst>
            </c:strLit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'Fall Enrollment'!$E$3:$E$25</c15:sqref>
                  </c15:fullRef>
                </c:ext>
              </c:extLst>
              <c:f>('Fall Enrollment'!$E$3:$E$18,'Fall Enrollment'!$E$20:$E$25)</c:f>
              <c:numCache>
                <c:formatCode>#,##0</c:formatCode>
                <c:ptCount val="22"/>
                <c:pt idx="0">
                  <c:v>5188</c:v>
                </c:pt>
                <c:pt idx="1">
                  <c:v>4795</c:v>
                </c:pt>
                <c:pt idx="2">
                  <c:v>4428</c:v>
                </c:pt>
                <c:pt idx="3">
                  <c:v>5001</c:v>
                </c:pt>
                <c:pt idx="4">
                  <c:v>5544</c:v>
                </c:pt>
                <c:pt idx="5">
                  <c:v>5342</c:v>
                </c:pt>
                <c:pt idx="6">
                  <c:v>5083</c:v>
                </c:pt>
                <c:pt idx="7">
                  <c:v>5294</c:v>
                </c:pt>
                <c:pt idx="8">
                  <c:v>5507</c:v>
                </c:pt>
                <c:pt idx="9">
                  <c:v>5368</c:v>
                </c:pt>
                <c:pt idx="10">
                  <c:v>5854</c:v>
                </c:pt>
                <c:pt idx="11">
                  <c:v>5791</c:v>
                </c:pt>
                <c:pt idx="12">
                  <c:v>5697</c:v>
                </c:pt>
                <c:pt idx="13">
                  <c:v>5416</c:v>
                </c:pt>
                <c:pt idx="14">
                  <c:v>5064</c:v>
                </c:pt>
                <c:pt idx="15">
                  <c:v>4573</c:v>
                </c:pt>
                <c:pt idx="16">
                  <c:v>4484</c:v>
                </c:pt>
                <c:pt idx="17">
                  <c:v>4403</c:v>
                </c:pt>
                <c:pt idx="18">
                  <c:v>3946</c:v>
                </c:pt>
                <c:pt idx="19">
                  <c:v>3843</c:v>
                </c:pt>
                <c:pt idx="20">
                  <c:v>2716</c:v>
                </c:pt>
                <c:pt idx="21">
                  <c:v>2618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178-4314-973C-14260589D6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26348320"/>
        <c:axId val="926348880"/>
      </c:lineChart>
      <c:catAx>
        <c:axId val="926348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26348880"/>
        <c:crosses val="autoZero"/>
        <c:auto val="1"/>
        <c:lblAlgn val="ctr"/>
        <c:lblOffset val="100"/>
        <c:noMultiLvlLbl val="0"/>
      </c:catAx>
      <c:valAx>
        <c:axId val="9263488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Headcount</a:t>
                </a:r>
              </a:p>
            </c:rich>
          </c:tx>
          <c:layout>
            <c:manualLayout>
              <c:xMode val="edge"/>
              <c:yMode val="edge"/>
              <c:x val="9.6878363832077499E-2"/>
              <c:y val="0.3813429886920700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2634832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solidFill>
            <a:schemeClr val="tx1"/>
          </a:solidFill>
        </a:defRPr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Adane Kassa</dc:creator>
  <cp:keywords/>
  <dc:description/>
  <cp:lastModifiedBy>Adane Kassa</cp:lastModifiedBy>
  <cp:revision>25</cp:revision>
  <dcterms:created xsi:type="dcterms:W3CDTF">2015-01-06T18:48:00Z</dcterms:created>
  <dcterms:modified xsi:type="dcterms:W3CDTF">2022-07-11T21:10:00Z</dcterms:modified>
</cp:coreProperties>
</file>